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002" w14:textId="2A670249" w:rsidR="00F17715" w:rsidRPr="00373E00" w:rsidRDefault="00373E00" w:rsidP="00373E00">
      <w:pPr>
        <w:jc w:val="center"/>
        <w:rPr>
          <w:b/>
          <w:bCs/>
          <w:lang w:val="es-ES"/>
        </w:rPr>
      </w:pPr>
      <w:r w:rsidRPr="00373E00">
        <w:rPr>
          <w:b/>
          <w:bCs/>
          <w:lang w:val="es-ES"/>
        </w:rPr>
        <w:t>Ficha Caracterización de Buenas Prácticas en Equidad de Género en el Sector Empresarial Antioqueño</w:t>
      </w:r>
    </w:p>
    <w:p w14:paraId="4CCF66B0" w14:textId="4BA3424E" w:rsidR="00373E00" w:rsidRDefault="00373E00" w:rsidP="00373E00">
      <w:pPr>
        <w:jc w:val="center"/>
        <w:rPr>
          <w:lang w:val="es-ES"/>
        </w:rPr>
      </w:pPr>
    </w:p>
    <w:tbl>
      <w:tblPr>
        <w:tblW w:w="944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23"/>
      </w:tblGrid>
      <w:tr w:rsidR="00373E00" w:rsidRPr="00373E00" w14:paraId="24697061" w14:textId="77777777" w:rsidTr="52EB58B9">
        <w:trPr>
          <w:jc w:val="center"/>
        </w:trPr>
        <w:tc>
          <w:tcPr>
            <w:tcW w:w="9442" w:type="dxa"/>
            <w:gridSpan w:val="2"/>
            <w:shd w:val="clear" w:color="auto" w:fill="4F81BD"/>
          </w:tcPr>
          <w:p w14:paraId="0F1F2D70" w14:textId="77777777" w:rsidR="00373E00" w:rsidRDefault="00373E00" w:rsidP="00373E00">
            <w:pPr>
              <w:jc w:val="center"/>
              <w:rPr>
                <w:b/>
                <w:color w:val="FFFFFF" w:themeColor="background1"/>
              </w:rPr>
            </w:pPr>
          </w:p>
          <w:p w14:paraId="4AD64A16" w14:textId="77777777" w:rsidR="00373E00" w:rsidRDefault="00373E00" w:rsidP="00373E00">
            <w:pPr>
              <w:jc w:val="center"/>
              <w:rPr>
                <w:b/>
                <w:color w:val="FFFFFF" w:themeColor="background1"/>
              </w:rPr>
            </w:pPr>
            <w:r w:rsidRPr="00373E00">
              <w:rPr>
                <w:b/>
                <w:color w:val="FFFFFF" w:themeColor="background1"/>
              </w:rPr>
              <w:t>CARACTERIZACIÓN DE LA EMPRESA</w:t>
            </w:r>
          </w:p>
          <w:p w14:paraId="77FF9E51" w14:textId="3A1ECE1F" w:rsidR="00373E00" w:rsidRPr="00373E00" w:rsidRDefault="00373E00" w:rsidP="00373E00">
            <w:pPr>
              <w:jc w:val="center"/>
              <w:rPr>
                <w:b/>
              </w:rPr>
            </w:pPr>
          </w:p>
        </w:tc>
      </w:tr>
      <w:tr w:rsidR="00373E00" w:rsidRPr="00373E00" w14:paraId="008CF359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C0902E4" w14:textId="52368DF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C0D3E0" w14:textId="607B6E27" w:rsidR="00373E00" w:rsidRPr="00373E00" w:rsidRDefault="00AE1154" w:rsidP="00373E00">
            <w:pPr>
              <w:jc w:val="center"/>
              <w:rPr>
                <w:bCs/>
              </w:rPr>
            </w:pPr>
            <w:r>
              <w:rPr>
                <w:bCs/>
              </w:rPr>
              <w:t>Universidad EAFIT</w:t>
            </w:r>
          </w:p>
        </w:tc>
      </w:tr>
      <w:tr w:rsidR="00373E00" w:rsidRPr="00373E00" w14:paraId="5966A051" w14:textId="77777777" w:rsidTr="52EB58B9">
        <w:trPr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3A604EF0" w14:textId="1C841D1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1BC1159B" w14:textId="0BF58A7B" w:rsidR="00373E00" w:rsidRPr="00373E00" w:rsidRDefault="00AE1154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Institución de Educación Superior</w:t>
            </w:r>
          </w:p>
        </w:tc>
      </w:tr>
      <w:tr w:rsidR="00373E00" w:rsidRPr="00373E00" w14:paraId="54275CF9" w14:textId="77777777" w:rsidTr="52EB58B9">
        <w:trPr>
          <w:jc w:val="center"/>
        </w:trPr>
        <w:tc>
          <w:tcPr>
            <w:tcW w:w="3119" w:type="dxa"/>
            <w:tcBorders>
              <w:top w:val="single" w:sz="4" w:space="0" w:color="4F81BD"/>
              <w:right w:val="single" w:sz="4" w:space="0" w:color="4F81BD"/>
            </w:tcBorders>
          </w:tcPr>
          <w:p w14:paraId="5121286E" w14:textId="36ECA52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323" w:type="dxa"/>
            <w:tcBorders>
              <w:top w:val="single" w:sz="4" w:space="0" w:color="4F81BD"/>
              <w:left w:val="single" w:sz="4" w:space="0" w:color="4F81BD"/>
            </w:tcBorders>
          </w:tcPr>
          <w:p w14:paraId="0018D81C" w14:textId="55F73666" w:rsidR="00373E00" w:rsidRPr="00373E00" w:rsidRDefault="00FD6A47" w:rsidP="00373E00">
            <w:pPr>
              <w:jc w:val="center"/>
              <w:rPr>
                <w:bCs/>
              </w:rPr>
            </w:pPr>
            <w:r>
              <w:rPr>
                <w:bCs/>
              </w:rPr>
              <w:t>Grande</w:t>
            </w:r>
          </w:p>
        </w:tc>
      </w:tr>
      <w:tr w:rsidR="00373E00" w:rsidRPr="00373E00" w14:paraId="184A167C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5269C25" w14:textId="5FFA24DF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540F6D5" w14:textId="34FD6B19" w:rsidR="00373E00" w:rsidRPr="00373E00" w:rsidRDefault="00FD6A47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Medellín</w:t>
            </w:r>
          </w:p>
        </w:tc>
      </w:tr>
      <w:tr w:rsidR="00373E00" w:rsidRPr="00373E00" w14:paraId="319E694D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D4D4300" w14:textId="0383CF4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Total de Empleados</w:t>
            </w:r>
            <w:r w:rsidRPr="00373E00">
              <w:rPr>
                <w:b/>
              </w:rPr>
              <w:t xml:space="preserve"> 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8103A6E" w14:textId="6138F0C2" w:rsidR="00373E00" w:rsidRPr="00AE1154" w:rsidRDefault="00AE1154" w:rsidP="00AE1154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AE1154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2.645</w:t>
            </w:r>
          </w:p>
        </w:tc>
      </w:tr>
      <w:tr w:rsidR="00373E00" w:rsidRPr="00373E00" w14:paraId="7B1B5B70" w14:textId="77777777" w:rsidTr="52EB58B9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E49ABA5" w14:textId="682D8EBD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B4AAEA8" w14:textId="5367CFA2" w:rsidR="00373E00" w:rsidRPr="00373E00" w:rsidRDefault="00FD6A47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48,16%</w:t>
            </w:r>
          </w:p>
        </w:tc>
      </w:tr>
      <w:tr w:rsidR="00373E00" w:rsidRPr="00373E00" w14:paraId="0F55A734" w14:textId="77777777" w:rsidTr="52EB58B9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C5407F6" w14:textId="2F994D1E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4EC24ECB" w14:textId="53398081" w:rsidR="00373E00" w:rsidRPr="00373E00" w:rsidRDefault="00FD6A47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51,83%</w:t>
            </w:r>
          </w:p>
        </w:tc>
      </w:tr>
      <w:tr w:rsidR="00373E00" w:rsidRPr="00373E00" w14:paraId="55D6F26D" w14:textId="77777777" w:rsidTr="52EB58B9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11FDE068" w14:textId="3D95C2FB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020C2291" w14:textId="41BCFA08" w:rsidR="00FD6A47" w:rsidRDefault="00FD6A47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Valeria Mira Montoya. Mentora en el Semillero Mujeres y derecho </w:t>
            </w:r>
          </w:p>
          <w:p w14:paraId="451C6D4C" w14:textId="33BE9C6E" w:rsidR="00FD6A47" w:rsidRDefault="00FD6A47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Correo electrónico: </w:t>
            </w:r>
            <w:hyperlink r:id="rId10" w:history="1">
              <w:r w:rsidRPr="00981E3A">
                <w:rPr>
                  <w:rStyle w:val="Hipervnculo"/>
                  <w:lang w:val="es-ES"/>
                </w:rPr>
                <w:t>vmiram@eafit.edu.co</w:t>
              </w:r>
            </w:hyperlink>
          </w:p>
          <w:p w14:paraId="5396A8CF" w14:textId="2CD8017B" w:rsidR="00373E00" w:rsidRPr="00373E00" w:rsidRDefault="00FD6A47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Celular:  </w:t>
            </w:r>
            <w:r w:rsidR="00D66527">
              <w:rPr>
                <w:lang w:val="es-ES"/>
              </w:rPr>
              <w:t>3162558971</w:t>
            </w:r>
          </w:p>
        </w:tc>
      </w:tr>
      <w:tr w:rsidR="00373E00" w:rsidRPr="00373E00" w14:paraId="54F9C072" w14:textId="77777777" w:rsidTr="52EB58B9">
        <w:trPr>
          <w:jc w:val="center"/>
        </w:trPr>
        <w:tc>
          <w:tcPr>
            <w:tcW w:w="944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477193AF" w14:textId="77777777" w:rsidR="00373E00" w:rsidRDefault="00373E00" w:rsidP="00373E00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2E8C25D" w14:textId="3675274D" w:rsidR="00373E00" w:rsidRDefault="00373E00" w:rsidP="00373E00">
            <w:pPr>
              <w:jc w:val="center"/>
              <w:rPr>
                <w:b/>
                <w:bCs/>
                <w:color w:val="FFFFFF" w:themeColor="background1"/>
              </w:rPr>
            </w:pPr>
            <w:r w:rsidRPr="00373E00">
              <w:rPr>
                <w:b/>
                <w:bCs/>
                <w:color w:val="FFFFFF" w:themeColor="background1"/>
              </w:rPr>
              <w:t>CARACTERIZACIÓN DE LA BUENA PRÁCTICA</w:t>
            </w:r>
          </w:p>
          <w:p w14:paraId="1FC49E4D" w14:textId="19E50B21" w:rsidR="00373E00" w:rsidRPr="00373E00" w:rsidRDefault="00373E00" w:rsidP="00373E00">
            <w:pPr>
              <w:jc w:val="center"/>
              <w:rPr>
                <w:b/>
                <w:bCs/>
              </w:rPr>
            </w:pPr>
          </w:p>
        </w:tc>
      </w:tr>
      <w:tr w:rsidR="00373E00" w:rsidRPr="00373E00" w14:paraId="65EB9862" w14:textId="77777777" w:rsidTr="52EB58B9">
        <w:trPr>
          <w:trHeight w:val="737"/>
          <w:jc w:val="center"/>
        </w:trPr>
        <w:tc>
          <w:tcPr>
            <w:tcW w:w="3119" w:type="dxa"/>
            <w:tcBorders>
              <w:bottom w:val="single" w:sz="4" w:space="0" w:color="8496B0" w:themeColor="text2" w:themeTint="99"/>
              <w:right w:val="single" w:sz="4" w:space="0" w:color="4F81BD"/>
            </w:tcBorders>
          </w:tcPr>
          <w:p w14:paraId="0C58B267" w14:textId="236B8C7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Fecha de inicio de la implementación de la buena práctica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8496B0" w:themeColor="text2" w:themeTint="99"/>
            </w:tcBorders>
          </w:tcPr>
          <w:p w14:paraId="41C0DCDB" w14:textId="77777777" w:rsidR="00373E00" w:rsidRPr="00373E00" w:rsidRDefault="00373E00" w:rsidP="00373E00">
            <w:pPr>
              <w:jc w:val="center"/>
              <w:rPr>
                <w:b/>
                <w:lang w:val="es-ES"/>
              </w:rPr>
            </w:pPr>
          </w:p>
          <w:p w14:paraId="1EE58352" w14:textId="04C00800" w:rsidR="00373E00" w:rsidRPr="00373E00" w:rsidRDefault="77CFE115" w:rsidP="2B70F3F3">
            <w:pPr>
              <w:jc w:val="center"/>
              <w:rPr>
                <w:b/>
                <w:bCs/>
                <w:lang w:val="es-ES"/>
              </w:rPr>
            </w:pPr>
            <w:r w:rsidRPr="2B70F3F3">
              <w:rPr>
                <w:b/>
                <w:bCs/>
                <w:lang w:val="es-ES"/>
              </w:rPr>
              <w:t>2020</w:t>
            </w:r>
            <w:r w:rsidR="00373E00" w:rsidRPr="2B70F3F3">
              <w:rPr>
                <w:b/>
                <w:bCs/>
                <w:lang w:val="es-ES"/>
              </w:rPr>
              <w:t xml:space="preserve"> </w:t>
            </w:r>
          </w:p>
        </w:tc>
      </w:tr>
      <w:tr w:rsidR="00373E00" w:rsidRPr="00373E00" w14:paraId="790D7C14" w14:textId="77777777" w:rsidTr="52EB58B9">
        <w:trPr>
          <w:jc w:val="center"/>
        </w:trPr>
        <w:tc>
          <w:tcPr>
            <w:tcW w:w="3119" w:type="dxa"/>
            <w:tcBorders>
              <w:top w:val="single" w:sz="4" w:space="0" w:color="8496B0" w:themeColor="text2" w:themeTint="99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A41DF44" w14:textId="62FAC529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Buena Práctica</w:t>
            </w:r>
          </w:p>
        </w:tc>
        <w:tc>
          <w:tcPr>
            <w:tcW w:w="6323" w:type="dxa"/>
            <w:tcBorders>
              <w:top w:val="single" w:sz="4" w:space="0" w:color="8496B0" w:themeColor="text2" w:themeTint="99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C1EEA40" w14:textId="6A6F7C7D" w:rsidR="00373E00" w:rsidRPr="00373E00" w:rsidRDefault="260106F8" w:rsidP="00373E00">
            <w:pPr>
              <w:jc w:val="center"/>
            </w:pPr>
            <w:r>
              <w:t>Investigación del Semillero de Mujeres y derecho</w:t>
            </w:r>
            <w:r w:rsidR="2DD4FC0A">
              <w:t xml:space="preserve"> de la Universidad EAFIT</w:t>
            </w:r>
            <w:r>
              <w:t xml:space="preserve"> “Naturalización del acoso sexual en entornos universitarios”</w:t>
            </w:r>
          </w:p>
        </w:tc>
      </w:tr>
      <w:tr w:rsidR="00373E00" w:rsidRPr="00373E00" w14:paraId="1F5E5525" w14:textId="77777777" w:rsidTr="52EB58B9">
        <w:trPr>
          <w:jc w:val="center"/>
        </w:trPr>
        <w:tc>
          <w:tcPr>
            <w:tcW w:w="3119" w:type="dxa"/>
            <w:tcBorders>
              <w:right w:val="single" w:sz="4" w:space="0" w:color="4F81BD"/>
            </w:tcBorders>
          </w:tcPr>
          <w:p w14:paraId="155DFB96" w14:textId="2706B12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Problema o necesidad que se intervino</w:t>
            </w:r>
          </w:p>
        </w:tc>
        <w:tc>
          <w:tcPr>
            <w:tcW w:w="6323" w:type="dxa"/>
            <w:tcBorders>
              <w:left w:val="single" w:sz="4" w:space="0" w:color="4F81BD"/>
            </w:tcBorders>
          </w:tcPr>
          <w:p w14:paraId="093435F3" w14:textId="732CE7B3" w:rsidR="00373E00" w:rsidRPr="00373E00" w:rsidRDefault="00373E00" w:rsidP="00373E00">
            <w:pPr>
              <w:jc w:val="center"/>
            </w:pPr>
          </w:p>
          <w:p w14:paraId="518967C2" w14:textId="601C974F" w:rsidR="00373E00" w:rsidRPr="00373E00" w:rsidRDefault="6D304CEE" w:rsidP="6D6A948D">
            <w:r>
              <w:t>El fenómeno del acoso sexual en entornos universitarios</w:t>
            </w:r>
          </w:p>
        </w:tc>
      </w:tr>
      <w:tr w:rsidR="00373E00" w:rsidRPr="00373E00" w14:paraId="4231F31E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5E02E2" w14:textId="40DFA3A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Antecedentes: ¿Cómo inició?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A189D8" w14:textId="399D16F1" w:rsidR="00373E00" w:rsidRPr="00373E00" w:rsidRDefault="1557581F" w:rsidP="00FD6A47">
            <w:pPr>
              <w:jc w:val="both"/>
            </w:pPr>
            <w:r>
              <w:t>Es una iniciativa estudiantil</w:t>
            </w:r>
            <w:r w:rsidR="07804BA4">
              <w:t xml:space="preserve"> liderada por el Semillero de Mujeres y Derecho. Este </w:t>
            </w:r>
            <w:r>
              <w:t>nac</w:t>
            </w:r>
            <w:r w:rsidR="2ACC2D05">
              <w:t>ió</w:t>
            </w:r>
            <w:r>
              <w:t xml:space="preserve"> de los encuentros en el Ciclo de lectura </w:t>
            </w:r>
            <w:r w:rsidR="4BD26C1B">
              <w:t>“</w:t>
            </w:r>
            <w:r>
              <w:t>Feminismo y Derecho</w:t>
            </w:r>
            <w:r w:rsidR="318B704A">
              <w:t>”</w:t>
            </w:r>
            <w:r>
              <w:t xml:space="preserve"> </w:t>
            </w:r>
            <w:r w:rsidR="53FC3D50">
              <w:t>en 2018</w:t>
            </w:r>
            <w:r w:rsidR="313C6BF2">
              <w:t xml:space="preserve"> y </w:t>
            </w:r>
            <w:r w:rsidR="53FC3D50">
              <w:t xml:space="preserve">luego </w:t>
            </w:r>
            <w:r w:rsidR="4788455A">
              <w:t xml:space="preserve">se constituyó formalmente </w:t>
            </w:r>
            <w:r w:rsidR="53FC3D50">
              <w:t xml:space="preserve">como </w:t>
            </w:r>
            <w:r w:rsidR="7406E6D8">
              <w:t>s</w:t>
            </w:r>
            <w:r w:rsidR="53FC3D50">
              <w:t xml:space="preserve">emillero </w:t>
            </w:r>
            <w:r w:rsidR="5D0AD037">
              <w:t>en el año</w:t>
            </w:r>
            <w:r w:rsidR="53FC3D50">
              <w:t xml:space="preserve"> 2019</w:t>
            </w:r>
            <w:r w:rsidR="64CDB903">
              <w:t xml:space="preserve">. </w:t>
            </w:r>
            <w:r w:rsidR="4EAF919A">
              <w:t xml:space="preserve">En el </w:t>
            </w:r>
            <w:r w:rsidR="64CDB903">
              <w:t>2020 se</w:t>
            </w:r>
            <w:r w:rsidR="551627FE">
              <w:t xml:space="preserve"> definió el tema de investigación y se</w:t>
            </w:r>
            <w:r w:rsidR="64CDB903">
              <w:t xml:space="preserve"> consolid</w:t>
            </w:r>
            <w:r w:rsidR="1013B7B1">
              <w:t>ó</w:t>
            </w:r>
            <w:r w:rsidR="64CDB903">
              <w:t xml:space="preserve"> la ruta del proyecto de investigación</w:t>
            </w:r>
            <w:r w:rsidR="53FC3D50">
              <w:t xml:space="preserve"> </w:t>
            </w:r>
            <w:r w:rsidR="0EAEC605">
              <w:t>que quedó</w:t>
            </w:r>
            <w:r w:rsidR="48A63D76">
              <w:t xml:space="preserve"> seleccionado en la convocatoria de pequeños proyectos de investigación</w:t>
            </w:r>
            <w:r w:rsidR="09090CAD">
              <w:t xml:space="preserve"> de la Vicerrectoría de Descubrimiento y Creación.</w:t>
            </w:r>
            <w:r w:rsidR="34689A97">
              <w:t xml:space="preserve"> La elección del tema de investigación surgió de las experiencias compartidas de las integrantes del Semillero y de la necesidad que había en ese momento de poner el tema en la agenda de la Universidad.</w:t>
            </w:r>
            <w:r w:rsidR="3D0864D4">
              <w:t xml:space="preserve"> El proyecto ha sido reconocido en ferias de semilleros internas, </w:t>
            </w:r>
            <w:r w:rsidR="3D0864D4">
              <w:lastRenderedPageBreak/>
              <w:t xml:space="preserve">regionales y nacionales, con puntajes sobresalientes. </w:t>
            </w:r>
            <w:r w:rsidR="3794C93C">
              <w:t xml:space="preserve"> </w:t>
            </w:r>
            <w:r w:rsidR="0E527A1F">
              <w:t>A medida que la investigación ha avanzado y el tema se ha comenzado a discutir en el campus, varios actores dentro de la universidad se han unido a los esfuerzos investigativos.</w:t>
            </w:r>
          </w:p>
        </w:tc>
      </w:tr>
      <w:tr w:rsidR="00373E00" w:rsidRPr="00373E00" w14:paraId="2007EFDE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A9F4A91" w14:textId="04ECD02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Descripción de la buena práctica ¿En qué consiste?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BFC7B02" w14:textId="74650C0E" w:rsidR="00373E00" w:rsidRPr="00373E00" w:rsidRDefault="1104D793" w:rsidP="00FD6A47">
            <w:pPr>
              <w:jc w:val="both"/>
            </w:pPr>
            <w:r>
              <w:t>La investigación pretende</w:t>
            </w:r>
            <w:r w:rsidR="6138251C">
              <w:t xml:space="preserve"> diagnosticar el problema </w:t>
            </w:r>
            <w:r w:rsidR="48BBE8C8">
              <w:t xml:space="preserve">de acoso sexual dentro de la universidad </w:t>
            </w:r>
            <w:r w:rsidR="6138251C">
              <w:t>y visibilizar su ocurrencia en el entorno universitario</w:t>
            </w:r>
            <w:r w:rsidR="0D2D7944">
              <w:t xml:space="preserve">. </w:t>
            </w:r>
            <w:r w:rsidR="5689522D">
              <w:t>Así, busca i</w:t>
            </w:r>
            <w:r w:rsidR="0D2D7944">
              <w:t>dentificar los factores a los que obedece y las consecuencias que trae la naturalización de las conductas de acoso sexual</w:t>
            </w:r>
            <w:r w:rsidR="3D502FF6">
              <w:t xml:space="preserve">, que, principalmente, impactan la vida de las estudiantes. </w:t>
            </w:r>
            <w:r w:rsidR="228FE32F">
              <w:t xml:space="preserve">Se espera un producto de apropiación social de conocimiento que sintetice los hallazgos en una pieza de divulgación que enriquezca el diálogo </w:t>
            </w:r>
            <w:r w:rsidR="64DDF8C9">
              <w:t xml:space="preserve">universitario sobre el respeto y la </w:t>
            </w:r>
            <w:r w:rsidR="2BC59FC7">
              <w:t>integridad,</w:t>
            </w:r>
            <w:r w:rsidR="3887C408">
              <w:t xml:space="preserve"> así como un artículo académico</w:t>
            </w:r>
            <w:r w:rsidR="64DDF8C9">
              <w:t xml:space="preserve">. </w:t>
            </w:r>
          </w:p>
        </w:tc>
      </w:tr>
      <w:tr w:rsidR="00373E00" w:rsidRPr="00373E00" w14:paraId="6D0566EC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9DF7A89" w14:textId="6BD2C504" w:rsidR="00373E00" w:rsidRPr="00373E00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Alianzas existentes en el marco de la experiencia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D6CABBE" w14:textId="36EB3D86" w:rsidR="00373E00" w:rsidRPr="00373E00" w:rsidRDefault="6DB47F10" w:rsidP="00FD6A47">
            <w:pPr>
              <w:jc w:val="both"/>
            </w:pPr>
            <w:r>
              <w:t xml:space="preserve">La encuesta de Naturalización del acoso sexual en entornos universitarios se desarrolla en alianza con el Centro de Integridad de la Universidad EAFIT. </w:t>
            </w:r>
          </w:p>
        </w:tc>
      </w:tr>
      <w:tr w:rsidR="00AF67D4" w:rsidRPr="00373E00" w14:paraId="0A1A3016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4325CB7" w14:textId="08FCD6F6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Beneficios o resultados obtenidos en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27DF048" w14:textId="0135B422" w:rsidR="00AF67D4" w:rsidRPr="00373E00" w:rsidRDefault="433BCEEE" w:rsidP="00FD6A47">
            <w:pPr>
              <w:jc w:val="both"/>
              <w:rPr>
                <w:lang w:val="es-ES"/>
              </w:rPr>
            </w:pPr>
            <w:r w:rsidRPr="2CD64FB3">
              <w:rPr>
                <w:lang w:val="es-ES"/>
              </w:rPr>
              <w:t xml:space="preserve">Ser la </w:t>
            </w:r>
            <w:r w:rsidR="5FBBF9CA" w:rsidRPr="2CD64FB3">
              <w:rPr>
                <w:lang w:val="es-ES"/>
              </w:rPr>
              <w:t xml:space="preserve">institución pionera en la investigación acerca de este fenómeno en entornos universitarios y </w:t>
            </w:r>
            <w:r w:rsidR="3B62EAE6" w:rsidRPr="2CD64FB3">
              <w:rPr>
                <w:lang w:val="es-ES"/>
              </w:rPr>
              <w:t>abrir el panorama para la replicabilidad de estos estudios en otras universidades y empresas</w:t>
            </w:r>
            <w:r w:rsidR="0450998C" w:rsidRPr="2CD64FB3">
              <w:rPr>
                <w:lang w:val="es-ES"/>
              </w:rPr>
              <w:t>.</w:t>
            </w:r>
          </w:p>
          <w:p w14:paraId="2E1ECA01" w14:textId="00B8EDA2" w:rsidR="00AF67D4" w:rsidRPr="00373E00" w:rsidRDefault="0450998C" w:rsidP="00FD6A47">
            <w:pPr>
              <w:jc w:val="both"/>
              <w:rPr>
                <w:lang w:val="es-ES"/>
              </w:rPr>
            </w:pPr>
            <w:r w:rsidRPr="2CD64FB3">
              <w:rPr>
                <w:lang w:val="es-ES"/>
              </w:rPr>
              <w:t>C</w:t>
            </w:r>
            <w:r w:rsidR="5FBBF9CA" w:rsidRPr="2CD64FB3">
              <w:rPr>
                <w:lang w:val="es-ES"/>
              </w:rPr>
              <w:t>ontribuir a la no estigmatización de la conversación acerca de la problemática del acoso sexual.</w:t>
            </w:r>
          </w:p>
          <w:p w14:paraId="34545366" w14:textId="41FD94DA" w:rsidR="00AF67D4" w:rsidRPr="00373E00" w:rsidRDefault="48D7E2FF" w:rsidP="00FD6A47">
            <w:pPr>
              <w:jc w:val="both"/>
              <w:rPr>
                <w:lang w:val="es-ES"/>
              </w:rPr>
            </w:pPr>
            <w:r w:rsidRPr="032297D6">
              <w:rPr>
                <w:lang w:val="es-ES"/>
              </w:rPr>
              <w:t>Darle tratamiento adecuado al fenómeno de manera que este pueda mitigarse</w:t>
            </w:r>
            <w:r w:rsidR="429CF270" w:rsidRPr="032297D6">
              <w:rPr>
                <w:lang w:val="es-ES"/>
              </w:rPr>
              <w:t>,</w:t>
            </w:r>
            <w:r w:rsidRPr="032297D6">
              <w:rPr>
                <w:lang w:val="es-ES"/>
              </w:rPr>
              <w:t xml:space="preserve"> mejorando la convivencia y el respeto a la integridad de</w:t>
            </w:r>
            <w:r w:rsidR="15FEF6B0" w:rsidRPr="032297D6">
              <w:rPr>
                <w:lang w:val="es-ES"/>
              </w:rPr>
              <w:t xml:space="preserve"> la persona</w:t>
            </w:r>
            <w:r w:rsidRPr="032297D6">
              <w:rPr>
                <w:lang w:val="es-ES"/>
              </w:rPr>
              <w:t xml:space="preserve"> que perm</w:t>
            </w:r>
            <w:r w:rsidR="53C6CF37" w:rsidRPr="032297D6">
              <w:rPr>
                <w:lang w:val="es-ES"/>
              </w:rPr>
              <w:t xml:space="preserve">ite una mejor experiencia universitaria. </w:t>
            </w:r>
          </w:p>
          <w:p w14:paraId="1B1B8717" w14:textId="2BC8E645" w:rsidR="00AF67D4" w:rsidRPr="00373E00" w:rsidRDefault="120EA246" w:rsidP="00FD6A47">
            <w:pPr>
              <w:jc w:val="both"/>
              <w:rPr>
                <w:lang w:val="es-ES"/>
              </w:rPr>
            </w:pPr>
            <w:r w:rsidRPr="032297D6">
              <w:rPr>
                <w:lang w:val="es-ES"/>
              </w:rPr>
              <w:t xml:space="preserve">Una vivencia adecuada de los principios universitarios. </w:t>
            </w:r>
          </w:p>
        </w:tc>
      </w:tr>
      <w:tr w:rsidR="00AF67D4" w:rsidRPr="00373E00" w14:paraId="653EF921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96A75BC" w14:textId="5CA50B8F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Acciones de mejora o lecciones aprendidas en el proceso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43375E8" w14:textId="25D6C2CF" w:rsidR="00AF67D4" w:rsidRPr="00373E00" w:rsidRDefault="19588479" w:rsidP="00FD6A47">
            <w:pPr>
              <w:jc w:val="both"/>
              <w:rPr>
                <w:rFonts w:eastAsiaTheme="minorEastAsia"/>
              </w:rPr>
            </w:pPr>
            <w:r w:rsidRPr="52EB58B9">
              <w:rPr>
                <w:rFonts w:eastAsiaTheme="minorEastAsia"/>
              </w:rPr>
              <w:t>Existen algunas dificultades para abordar el acoso sexual dentro de las universidades y entornos laborales pues este ha sido un fenómeno invisibilizado, que solo hasta hace poco ha comenzado a considerarse. En este sentido, ante la discusión del asunto, existen temores sobre la mejor forma de tratarlo y de proponer soluciones para atenderlo. Pero, con ello hemos aprendido que la mejor forma de enfrentarlo es el reconocimiento del fenómeno como una oportunidad para liderar políticas adecuadas de prevención y atención que respondan adecuadamente a la dimensión del problema</w:t>
            </w:r>
            <w:r w:rsidR="693F797C" w:rsidRPr="52EB58B9">
              <w:rPr>
                <w:rFonts w:eastAsiaTheme="minorEastAsia"/>
              </w:rPr>
              <w:t xml:space="preserve">. </w:t>
            </w:r>
          </w:p>
        </w:tc>
      </w:tr>
      <w:tr w:rsidR="00AF67D4" w:rsidRPr="00373E00" w14:paraId="29307907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E3769B" w14:textId="5DCAB3AC" w:rsidR="00AF67D4" w:rsidRDefault="00AF67D4" w:rsidP="00373E00">
            <w:pPr>
              <w:jc w:val="center"/>
              <w:rPr>
                <w:b/>
              </w:rPr>
            </w:pPr>
            <w:r w:rsidRPr="00AF67D4">
              <w:rPr>
                <w:b/>
              </w:rPr>
              <w:t xml:space="preserve">¿Existe un proceso de divulgación o socialización </w:t>
            </w:r>
            <w:r w:rsidRPr="00AF67D4">
              <w:rPr>
                <w:b/>
              </w:rPr>
              <w:lastRenderedPageBreak/>
              <w:t>de la buena práctica? ¿Cómo se realiza?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5512CF2" w14:textId="2F16FE94" w:rsidR="00AF67D4" w:rsidRPr="00373E00" w:rsidRDefault="193D3211" w:rsidP="00FD6A47">
            <w:pPr>
              <w:jc w:val="both"/>
            </w:pPr>
            <w:r>
              <w:lastRenderedPageBreak/>
              <w:t xml:space="preserve">Hasta el momento existe un proceso de difusión de la </w:t>
            </w:r>
            <w:r w:rsidR="4E568297">
              <w:t>e</w:t>
            </w:r>
            <w:r>
              <w:t xml:space="preserve">ncuesta de </w:t>
            </w:r>
            <w:r w:rsidR="4EA25DC8">
              <w:t>“</w:t>
            </w:r>
            <w:r>
              <w:t xml:space="preserve">Naturalización de </w:t>
            </w:r>
            <w:r w:rsidR="22612E70">
              <w:t>las c</w:t>
            </w:r>
            <w:r>
              <w:t xml:space="preserve">onductas </w:t>
            </w:r>
            <w:r w:rsidR="4A2E108C">
              <w:t>c</w:t>
            </w:r>
            <w:r w:rsidR="55A8E369">
              <w:t>onst</w:t>
            </w:r>
            <w:r w:rsidR="4C12421A">
              <w:t>it</w:t>
            </w:r>
            <w:r w:rsidR="55A8E369">
              <w:t>utivas</w:t>
            </w:r>
            <w:r>
              <w:t xml:space="preserve"> </w:t>
            </w:r>
            <w:r w:rsidR="4D08D411">
              <w:t>de</w:t>
            </w:r>
            <w:r>
              <w:t xml:space="preserve"> </w:t>
            </w:r>
            <w:r w:rsidR="039EA595">
              <w:t>a</w:t>
            </w:r>
            <w:r>
              <w:t xml:space="preserve">coso </w:t>
            </w:r>
            <w:r w:rsidR="2808B72A">
              <w:t>s</w:t>
            </w:r>
            <w:r>
              <w:t xml:space="preserve">exual </w:t>
            </w:r>
            <w:r w:rsidR="61D36930">
              <w:t>en la Universidad EAFIT</w:t>
            </w:r>
            <w:r w:rsidR="0E10C414">
              <w:t>”</w:t>
            </w:r>
            <w:r w:rsidR="61D36930">
              <w:t xml:space="preserve"> </w:t>
            </w:r>
            <w:r>
              <w:t>en los canales inst</w:t>
            </w:r>
            <w:r w:rsidR="21DCFC4E">
              <w:t>itucionales</w:t>
            </w:r>
            <w:r w:rsidR="212B6209">
              <w:t xml:space="preserve"> </w:t>
            </w:r>
            <w:r w:rsidR="212B6209">
              <w:lastRenderedPageBreak/>
              <w:t xml:space="preserve">(correo electrónico de la </w:t>
            </w:r>
            <w:r w:rsidR="4058863A">
              <w:t>universidad</w:t>
            </w:r>
            <w:r w:rsidR="212B6209">
              <w:t xml:space="preserve">), y un </w:t>
            </w:r>
            <w:r w:rsidR="11B6B373">
              <w:t>“</w:t>
            </w:r>
            <w:r w:rsidR="212B6209">
              <w:t>voz a voz</w:t>
            </w:r>
            <w:r w:rsidR="5F7C3067">
              <w:t>”</w:t>
            </w:r>
            <w:r w:rsidR="212B6209">
              <w:t xml:space="preserve"> en cabeza de los decanos de cada escuela a quienes se les solicitó apoyo en la divulgación de esta etapa del proceso. </w:t>
            </w:r>
          </w:p>
          <w:p w14:paraId="1A4A2314" w14:textId="3F98B7EC" w:rsidR="00AF67D4" w:rsidRPr="00373E00" w:rsidRDefault="18FE1EF9" w:rsidP="00FD6A47">
            <w:pPr>
              <w:spacing w:line="259" w:lineRule="auto"/>
              <w:jc w:val="both"/>
            </w:pPr>
            <w:r>
              <w:t>Con los resultados obtenidos en esta investigación, se publicará un artículo académico y un producto de apropiación social del conocimiento que estarán disponibles para toda la comunidad universitaria y el público</w:t>
            </w:r>
            <w:r w:rsidR="6E40CAC4">
              <w:t xml:space="preserve"> en general. Adicionalmente, se abrirán espacios para la divulgación y discusión de estos resultados dentro de la universidad. </w:t>
            </w:r>
          </w:p>
        </w:tc>
      </w:tr>
      <w:tr w:rsidR="00AF67D4" w:rsidRPr="00373E00" w14:paraId="3C6F2ECB" w14:textId="77777777" w:rsidTr="52EB58B9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3F632289" w14:textId="32C584DA" w:rsidR="00AF67D4" w:rsidRP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lastRenderedPageBreak/>
              <w:t>D</w:t>
            </w:r>
            <w:r w:rsidRPr="00AF67D4">
              <w:rPr>
                <w:b/>
              </w:rPr>
              <w:t>e ser replicable la experiencia ¿Cuáles son los criterios de replicabilidad? ¿Quiénes pueden hacerlo?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10C5912" w14:textId="291E4562" w:rsidR="00AF67D4" w:rsidRPr="00373E00" w:rsidRDefault="36DC8635" w:rsidP="00FD6A4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Voluntad de la junta directiva de la organización. </w:t>
            </w:r>
          </w:p>
          <w:p w14:paraId="031F435D" w14:textId="27C57E8D" w:rsidR="00AF67D4" w:rsidRPr="00373E00" w:rsidRDefault="36DC8635" w:rsidP="00FD6A4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La existencia de una instancia, o centro de integridad, que aborde y tramite estos casos. </w:t>
            </w:r>
          </w:p>
          <w:p w14:paraId="7BC3C7BA" w14:textId="78F38BEE" w:rsidR="00AF67D4" w:rsidRPr="00373E00" w:rsidRDefault="36DC8635" w:rsidP="00FD6A4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La destinación de recursos humanos y recursos económicos a la investigación: trabajo voluntario, un fondo económico de estímulos a la investigación,</w:t>
            </w:r>
            <w:r w:rsidR="16B32AF0">
              <w:t xml:space="preserve"> un</w:t>
            </w:r>
            <w:r w:rsidR="71FF4DF3">
              <w:t xml:space="preserve"> de</w:t>
            </w:r>
            <w:r w:rsidR="16B32AF0">
              <w:t xml:space="preserve"> tope</w:t>
            </w:r>
            <w:r>
              <w:t xml:space="preserve"> </w:t>
            </w:r>
            <w:r w:rsidR="040399E6">
              <w:t>financiación</w:t>
            </w:r>
            <w:r w:rsidR="14151598">
              <w:t xml:space="preserve"> e inversión mínima por parte de las empresas. </w:t>
            </w:r>
            <w:r w:rsidR="040399E6">
              <w:t xml:space="preserve"> </w:t>
            </w:r>
          </w:p>
          <w:p w14:paraId="0CDA9BC1" w14:textId="57A0A048" w:rsidR="00AF67D4" w:rsidRPr="00373E00" w:rsidRDefault="7B40D318" w:rsidP="00FD6A4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El reconocimiento de la importancia del problema y la no estigmatización a la conversación sobre el acoso sexual. </w:t>
            </w:r>
          </w:p>
          <w:p w14:paraId="5930B3D1" w14:textId="372C9085" w:rsidR="00AF67D4" w:rsidRPr="00373E00" w:rsidRDefault="54EAA694" w:rsidP="00FD6A4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Un instrumento de diagnóstico</w:t>
            </w:r>
            <w:r w:rsidR="5192F8D1">
              <w:t xml:space="preserve"> del fenómeno</w:t>
            </w:r>
            <w:r>
              <w:t xml:space="preserve"> (como el </w:t>
            </w:r>
            <w:r w:rsidR="7651AE7B">
              <w:t xml:space="preserve">instrumento </w:t>
            </w:r>
            <w:r>
              <w:t xml:space="preserve">creado por el semillero, que puede </w:t>
            </w:r>
            <w:r w:rsidR="72C4B85A">
              <w:t>ser adaptado a los entornos que lo requieran</w:t>
            </w:r>
            <w:r>
              <w:t>).</w:t>
            </w:r>
          </w:p>
        </w:tc>
      </w:tr>
    </w:tbl>
    <w:p w14:paraId="51339868" w14:textId="77777777" w:rsidR="00373E00" w:rsidRPr="00373E00" w:rsidRDefault="00373E00" w:rsidP="00373E00">
      <w:pPr>
        <w:jc w:val="center"/>
        <w:rPr>
          <w:lang w:val="es-ES"/>
        </w:rPr>
      </w:pPr>
    </w:p>
    <w:p w14:paraId="74BC33CD" w14:textId="0DD60D88" w:rsidR="5130125E" w:rsidRDefault="5130125E" w:rsidP="2CD64FB3">
      <w:pPr>
        <w:jc w:val="center"/>
        <w:rPr>
          <w:lang w:val="es-ES"/>
        </w:rPr>
      </w:pPr>
    </w:p>
    <w:sectPr w:rsidR="5130125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3F9E" w14:textId="77777777" w:rsidR="00DF44C8" w:rsidRDefault="00DF44C8" w:rsidP="00373E00">
      <w:r>
        <w:separator/>
      </w:r>
    </w:p>
  </w:endnote>
  <w:endnote w:type="continuationSeparator" w:id="0">
    <w:p w14:paraId="66B6DB52" w14:textId="77777777" w:rsidR="00DF44C8" w:rsidRDefault="00DF44C8" w:rsidP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F65" w14:textId="41D1235C" w:rsidR="00373E00" w:rsidRDefault="00373E00" w:rsidP="00373E00">
    <w:pPr>
      <w:pStyle w:val="Piedepgina"/>
      <w:jc w:val="right"/>
    </w:pPr>
    <w:r>
      <w:rPr>
        <w:noProof/>
      </w:rPr>
      <w:drawing>
        <wp:inline distT="0" distB="0" distL="0" distR="0" wp14:anchorId="527461F5" wp14:editId="55DEE273">
          <wp:extent cx="889000" cy="8890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33BBB4" wp14:editId="52B4E346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4647FB" wp14:editId="16442D92">
          <wp:extent cx="1333500" cy="887924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8" cy="9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7E08" w14:textId="77777777" w:rsidR="00DF44C8" w:rsidRDefault="00DF44C8" w:rsidP="00373E00">
      <w:r>
        <w:separator/>
      </w:r>
    </w:p>
  </w:footnote>
  <w:footnote w:type="continuationSeparator" w:id="0">
    <w:p w14:paraId="2D7C5EEC" w14:textId="77777777" w:rsidR="00DF44C8" w:rsidRDefault="00DF44C8" w:rsidP="0037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C548" w14:textId="4C1302F9" w:rsidR="00373E00" w:rsidRDefault="00373E00">
    <w:pPr>
      <w:pStyle w:val="Encabezado"/>
    </w:pPr>
  </w:p>
  <w:p w14:paraId="5B083180" w14:textId="77777777" w:rsidR="00373E00" w:rsidRDefault="00373E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60E"/>
    <w:multiLevelType w:val="hybridMultilevel"/>
    <w:tmpl w:val="F7C85DA4"/>
    <w:lvl w:ilvl="0" w:tplc="E0D60A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AC4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6A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6B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6D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EF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8D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8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01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0"/>
    <w:rsid w:val="00373E00"/>
    <w:rsid w:val="0067711C"/>
    <w:rsid w:val="00AA0726"/>
    <w:rsid w:val="00AE1154"/>
    <w:rsid w:val="00AF67D4"/>
    <w:rsid w:val="00C02D66"/>
    <w:rsid w:val="00D34402"/>
    <w:rsid w:val="00D66527"/>
    <w:rsid w:val="00DF44C8"/>
    <w:rsid w:val="00F17715"/>
    <w:rsid w:val="00FD6A47"/>
    <w:rsid w:val="017220C7"/>
    <w:rsid w:val="017D5EE1"/>
    <w:rsid w:val="0290742E"/>
    <w:rsid w:val="02B80A90"/>
    <w:rsid w:val="032297D6"/>
    <w:rsid w:val="03939F7C"/>
    <w:rsid w:val="039EA595"/>
    <w:rsid w:val="040399E6"/>
    <w:rsid w:val="0450998C"/>
    <w:rsid w:val="0677A6C4"/>
    <w:rsid w:val="07804BA4"/>
    <w:rsid w:val="07AE3A10"/>
    <w:rsid w:val="07F0C2D2"/>
    <w:rsid w:val="0873CC0A"/>
    <w:rsid w:val="09090CAD"/>
    <w:rsid w:val="0924C2CF"/>
    <w:rsid w:val="09700520"/>
    <w:rsid w:val="0A730F09"/>
    <w:rsid w:val="0B4B17E7"/>
    <w:rsid w:val="0C6B05D9"/>
    <w:rsid w:val="0D2D7944"/>
    <w:rsid w:val="0D545843"/>
    <w:rsid w:val="0E10C414"/>
    <w:rsid w:val="0E527A1F"/>
    <w:rsid w:val="0EAC60A5"/>
    <w:rsid w:val="0EAEC605"/>
    <w:rsid w:val="1013B7B1"/>
    <w:rsid w:val="1104D793"/>
    <w:rsid w:val="11B6B373"/>
    <w:rsid w:val="120EA246"/>
    <w:rsid w:val="14151598"/>
    <w:rsid w:val="151AE373"/>
    <w:rsid w:val="1557581F"/>
    <w:rsid w:val="15FEF6B0"/>
    <w:rsid w:val="16B32AF0"/>
    <w:rsid w:val="1775C524"/>
    <w:rsid w:val="18FE1EF9"/>
    <w:rsid w:val="193D3211"/>
    <w:rsid w:val="19588479"/>
    <w:rsid w:val="19A1B384"/>
    <w:rsid w:val="19D82825"/>
    <w:rsid w:val="19DBA2CE"/>
    <w:rsid w:val="1A85272D"/>
    <w:rsid w:val="1C8D4F67"/>
    <w:rsid w:val="1DBCC7EF"/>
    <w:rsid w:val="1DEEF0B3"/>
    <w:rsid w:val="1F8AC114"/>
    <w:rsid w:val="212B6209"/>
    <w:rsid w:val="21DCFC4E"/>
    <w:rsid w:val="22015401"/>
    <w:rsid w:val="22612E70"/>
    <w:rsid w:val="228FE32F"/>
    <w:rsid w:val="22A0BFAF"/>
    <w:rsid w:val="23BC6375"/>
    <w:rsid w:val="2447514C"/>
    <w:rsid w:val="2459A501"/>
    <w:rsid w:val="2538A588"/>
    <w:rsid w:val="259504AB"/>
    <w:rsid w:val="260106F8"/>
    <w:rsid w:val="269D82D0"/>
    <w:rsid w:val="2795D2F9"/>
    <w:rsid w:val="2802DE90"/>
    <w:rsid w:val="2808B72A"/>
    <w:rsid w:val="28709585"/>
    <w:rsid w:val="2913EDC7"/>
    <w:rsid w:val="29D04D09"/>
    <w:rsid w:val="29D52392"/>
    <w:rsid w:val="2A141629"/>
    <w:rsid w:val="2A1D9287"/>
    <w:rsid w:val="2ACC2D05"/>
    <w:rsid w:val="2B1EB6E4"/>
    <w:rsid w:val="2B3A7F52"/>
    <w:rsid w:val="2B70F3F3"/>
    <w:rsid w:val="2BC59FC7"/>
    <w:rsid w:val="2BECBCFC"/>
    <w:rsid w:val="2BF0CE7E"/>
    <w:rsid w:val="2CD64FB3"/>
    <w:rsid w:val="2DD4FC0A"/>
    <w:rsid w:val="2DE75EEA"/>
    <w:rsid w:val="2EB0823B"/>
    <w:rsid w:val="2EC6AEAC"/>
    <w:rsid w:val="2FE4ACDD"/>
    <w:rsid w:val="30266630"/>
    <w:rsid w:val="304C529C"/>
    <w:rsid w:val="313C6BF2"/>
    <w:rsid w:val="317723B7"/>
    <w:rsid w:val="318B704A"/>
    <w:rsid w:val="335E06F2"/>
    <w:rsid w:val="34689A97"/>
    <w:rsid w:val="3542179F"/>
    <w:rsid w:val="35F270CF"/>
    <w:rsid w:val="36DC8635"/>
    <w:rsid w:val="36F7A6AC"/>
    <w:rsid w:val="3794C93C"/>
    <w:rsid w:val="37BF029A"/>
    <w:rsid w:val="3887C408"/>
    <w:rsid w:val="391CC2CA"/>
    <w:rsid w:val="3922DB11"/>
    <w:rsid w:val="3AEC5DAD"/>
    <w:rsid w:val="3B62EAE6"/>
    <w:rsid w:val="3BE4E039"/>
    <w:rsid w:val="3C300C44"/>
    <w:rsid w:val="3C47FD77"/>
    <w:rsid w:val="3D0864D4"/>
    <w:rsid w:val="3D2AD5A4"/>
    <w:rsid w:val="3D502FF6"/>
    <w:rsid w:val="3E903164"/>
    <w:rsid w:val="3ED3F963"/>
    <w:rsid w:val="4058863A"/>
    <w:rsid w:val="413D10FC"/>
    <w:rsid w:val="429CF270"/>
    <w:rsid w:val="42A836CE"/>
    <w:rsid w:val="433BCEEE"/>
    <w:rsid w:val="43983BA1"/>
    <w:rsid w:val="44601697"/>
    <w:rsid w:val="46B3B904"/>
    <w:rsid w:val="46FC578C"/>
    <w:rsid w:val="47386A18"/>
    <w:rsid w:val="4788455A"/>
    <w:rsid w:val="48A63D76"/>
    <w:rsid w:val="48BBE8C8"/>
    <w:rsid w:val="48D7E2FF"/>
    <w:rsid w:val="48E7B22A"/>
    <w:rsid w:val="491E3330"/>
    <w:rsid w:val="495E4F52"/>
    <w:rsid w:val="49792E0B"/>
    <w:rsid w:val="4A2E108C"/>
    <w:rsid w:val="4A40730A"/>
    <w:rsid w:val="4A52D0FB"/>
    <w:rsid w:val="4A7A3ED7"/>
    <w:rsid w:val="4B9F5190"/>
    <w:rsid w:val="4BD26C1B"/>
    <w:rsid w:val="4C12421A"/>
    <w:rsid w:val="4C1892DA"/>
    <w:rsid w:val="4CBBD62F"/>
    <w:rsid w:val="4CD2D905"/>
    <w:rsid w:val="4CFC1891"/>
    <w:rsid w:val="4D08D411"/>
    <w:rsid w:val="4E568297"/>
    <w:rsid w:val="4EA25DC8"/>
    <w:rsid w:val="4EAF919A"/>
    <w:rsid w:val="4FC061A5"/>
    <w:rsid w:val="4FCD90D6"/>
    <w:rsid w:val="50AFB48E"/>
    <w:rsid w:val="5130125E"/>
    <w:rsid w:val="515334C6"/>
    <w:rsid w:val="5192F8D1"/>
    <w:rsid w:val="51CDE96A"/>
    <w:rsid w:val="52AFE6C1"/>
    <w:rsid w:val="52EB58B9"/>
    <w:rsid w:val="52F80267"/>
    <w:rsid w:val="53C6CF37"/>
    <w:rsid w:val="53CE2CF3"/>
    <w:rsid w:val="53FC3D50"/>
    <w:rsid w:val="54EAA694"/>
    <w:rsid w:val="551627FE"/>
    <w:rsid w:val="556B72E4"/>
    <w:rsid w:val="55A8E369"/>
    <w:rsid w:val="5689522D"/>
    <w:rsid w:val="57E09041"/>
    <w:rsid w:val="5821A881"/>
    <w:rsid w:val="5864AC3B"/>
    <w:rsid w:val="5875EBE7"/>
    <w:rsid w:val="589D10E0"/>
    <w:rsid w:val="58AD0B01"/>
    <w:rsid w:val="58DDED85"/>
    <w:rsid w:val="5D0AD037"/>
    <w:rsid w:val="5D6C77DE"/>
    <w:rsid w:val="5D89AA60"/>
    <w:rsid w:val="5DCFF0E9"/>
    <w:rsid w:val="5E6F10D8"/>
    <w:rsid w:val="5EF9958F"/>
    <w:rsid w:val="5F35D649"/>
    <w:rsid w:val="5F7C3067"/>
    <w:rsid w:val="5FBBF9CA"/>
    <w:rsid w:val="5FEBA226"/>
    <w:rsid w:val="6138251C"/>
    <w:rsid w:val="61D36930"/>
    <w:rsid w:val="645B8C90"/>
    <w:rsid w:val="64BE32D5"/>
    <w:rsid w:val="64CDB903"/>
    <w:rsid w:val="64DDF8C9"/>
    <w:rsid w:val="65B394F2"/>
    <w:rsid w:val="66134AD7"/>
    <w:rsid w:val="66E3325E"/>
    <w:rsid w:val="68BEEA32"/>
    <w:rsid w:val="68C39032"/>
    <w:rsid w:val="693F797C"/>
    <w:rsid w:val="6ACACE14"/>
    <w:rsid w:val="6B475534"/>
    <w:rsid w:val="6C8D6BA0"/>
    <w:rsid w:val="6CDE985F"/>
    <w:rsid w:val="6CE32595"/>
    <w:rsid w:val="6D304CEE"/>
    <w:rsid w:val="6D6A948D"/>
    <w:rsid w:val="6D714BDC"/>
    <w:rsid w:val="6DB47F10"/>
    <w:rsid w:val="6E40CAC4"/>
    <w:rsid w:val="6F6B4059"/>
    <w:rsid w:val="70C2F028"/>
    <w:rsid w:val="715DAF79"/>
    <w:rsid w:val="716E0FD3"/>
    <w:rsid w:val="71C8F4A9"/>
    <w:rsid w:val="71FF4DF3"/>
    <w:rsid w:val="72C4B85A"/>
    <w:rsid w:val="7406E6D8"/>
    <w:rsid w:val="741B1574"/>
    <w:rsid w:val="753E8F98"/>
    <w:rsid w:val="760D80BB"/>
    <w:rsid w:val="7651AE7B"/>
    <w:rsid w:val="77099067"/>
    <w:rsid w:val="77CFE115"/>
    <w:rsid w:val="7813E270"/>
    <w:rsid w:val="785D5D92"/>
    <w:rsid w:val="79AFB2D1"/>
    <w:rsid w:val="7A587B34"/>
    <w:rsid w:val="7AC7C981"/>
    <w:rsid w:val="7B40D318"/>
    <w:rsid w:val="7B4B8332"/>
    <w:rsid w:val="7C2D83F2"/>
    <w:rsid w:val="7CE9E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82A0"/>
  <w15:chartTrackingRefBased/>
  <w15:docId w15:val="{62B37913-0D70-FE4B-BBDC-178DE09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15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6A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6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miram@eafit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5167EF80783B4D9C7296B518C2F8FE" ma:contentTypeVersion="11" ma:contentTypeDescription="Crear nuevo documento." ma:contentTypeScope="" ma:versionID="e6eb803ec396946adcf678f66668d12e">
  <xsd:schema xmlns:xsd="http://www.w3.org/2001/XMLSchema" xmlns:xs="http://www.w3.org/2001/XMLSchema" xmlns:p="http://schemas.microsoft.com/office/2006/metadata/properties" xmlns:ns2="f0612e80-8f60-4198-8de9-1390b4b6e504" xmlns:ns3="fdd90ae8-dc27-49a2-909e-f4d394e08a02" targetNamespace="http://schemas.microsoft.com/office/2006/metadata/properties" ma:root="true" ma:fieldsID="3da423fba7165082b1399c81b1c788ec" ns2:_="" ns3:_="">
    <xsd:import namespace="f0612e80-8f60-4198-8de9-1390b4b6e504"/>
    <xsd:import namespace="fdd90ae8-dc27-49a2-909e-f4d394e08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2e80-8f60-4198-8de9-1390b4b6e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90ae8-dc27-49a2-909e-f4d394e0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B51AD-E057-44DF-A174-CAF3BB7AF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12e80-8f60-4198-8de9-1390b4b6e504"/>
    <ds:schemaRef ds:uri="fdd90ae8-dc27-49a2-909e-f4d394e08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8DC9-48E5-4326-AA85-26622D765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31244-BF74-465A-B5C2-4AD294E749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Rojas Bermeo</dc:creator>
  <cp:keywords/>
  <dc:description/>
  <cp:lastModifiedBy>Diana Paola Rojas Bermeo</cp:lastModifiedBy>
  <cp:revision>2</cp:revision>
  <dcterms:created xsi:type="dcterms:W3CDTF">2021-09-25T14:24:00Z</dcterms:created>
  <dcterms:modified xsi:type="dcterms:W3CDTF">2021-09-25T14:24:00Z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0x0101008E5167EF80783B4D9C7296B518C2F8FE</vt:lpwstr>
  </property>
</Properties>
</file>